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342E" w14:textId="1276AC87" w:rsidR="00517923" w:rsidRDefault="00E22857" w:rsidP="00517923">
      <w:pPr>
        <w:pStyle w:val="En-tte"/>
        <w:jc w:val="center"/>
        <w:rPr>
          <w:b/>
          <w:i/>
          <w:sz w:val="30"/>
          <w:szCs w:val="30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67684FCD">
            <wp:simplePos x="0" y="0"/>
            <wp:positionH relativeFrom="column">
              <wp:posOffset>-371475</wp:posOffset>
            </wp:positionH>
            <wp:positionV relativeFrom="paragraph">
              <wp:posOffset>195580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17923" w:rsidRPr="00517923">
        <w:rPr>
          <w:b/>
          <w:i/>
          <w:sz w:val="30"/>
          <w:szCs w:val="30"/>
        </w:rPr>
        <w:t>Responsable</w:t>
      </w:r>
      <w:proofErr w:type="spellEnd"/>
      <w:r w:rsidR="00517923" w:rsidRPr="00517923">
        <w:rPr>
          <w:b/>
          <w:i/>
          <w:sz w:val="30"/>
          <w:szCs w:val="30"/>
        </w:rPr>
        <w:t xml:space="preserve"> de </w:t>
      </w:r>
      <w:proofErr w:type="spellStart"/>
      <w:r w:rsidR="00517923" w:rsidRPr="00517923">
        <w:rPr>
          <w:b/>
          <w:i/>
          <w:sz w:val="30"/>
          <w:szCs w:val="30"/>
        </w:rPr>
        <w:t>l’alimentation</w:t>
      </w:r>
      <w:proofErr w:type="spellEnd"/>
      <w:r w:rsidR="00517923" w:rsidRPr="00517923">
        <w:rPr>
          <w:b/>
          <w:i/>
          <w:sz w:val="30"/>
          <w:szCs w:val="30"/>
        </w:rPr>
        <w:t xml:space="preserve"> des </w:t>
      </w:r>
      <w:proofErr w:type="spellStart"/>
      <w:r w:rsidR="00517923" w:rsidRPr="00517923">
        <w:rPr>
          <w:b/>
          <w:i/>
          <w:sz w:val="30"/>
          <w:szCs w:val="30"/>
        </w:rPr>
        <w:t>matières</w:t>
      </w:r>
      <w:proofErr w:type="spellEnd"/>
      <w:r w:rsidR="00517923" w:rsidRPr="00517923">
        <w:rPr>
          <w:b/>
          <w:i/>
          <w:sz w:val="30"/>
          <w:szCs w:val="30"/>
        </w:rPr>
        <w:t xml:space="preserve"> de production ou </w:t>
      </w:r>
      <w:proofErr w:type="spellStart"/>
      <w:r w:rsidR="00517923" w:rsidRPr="00517923">
        <w:rPr>
          <w:b/>
          <w:i/>
          <w:sz w:val="30"/>
          <w:szCs w:val="30"/>
        </w:rPr>
        <w:t>responsable</w:t>
      </w:r>
      <w:proofErr w:type="spellEnd"/>
      <w:r w:rsidR="00517923" w:rsidRPr="00517923">
        <w:rPr>
          <w:b/>
          <w:i/>
          <w:sz w:val="30"/>
          <w:szCs w:val="30"/>
        </w:rPr>
        <w:t xml:space="preserve"> des </w:t>
      </w:r>
      <w:proofErr w:type="spellStart"/>
      <w:r w:rsidR="00517923" w:rsidRPr="00517923">
        <w:rPr>
          <w:b/>
          <w:i/>
          <w:sz w:val="30"/>
          <w:szCs w:val="30"/>
        </w:rPr>
        <w:t>matières</w:t>
      </w:r>
      <w:proofErr w:type="spellEnd"/>
      <w:r w:rsidR="00517923" w:rsidRPr="00517923">
        <w:rPr>
          <w:b/>
          <w:i/>
          <w:sz w:val="30"/>
          <w:szCs w:val="30"/>
        </w:rPr>
        <w:t xml:space="preserve"> premières</w:t>
      </w:r>
    </w:p>
    <w:p w14:paraId="3729089D" w14:textId="4097D40E" w:rsidR="00E22857" w:rsidRDefault="00E22857" w:rsidP="00517923">
      <w:pPr>
        <w:pStyle w:val="En-tte"/>
        <w:jc w:val="center"/>
        <w:rPr>
          <w:b/>
          <w:i/>
          <w:sz w:val="30"/>
          <w:szCs w:val="30"/>
        </w:rPr>
      </w:pPr>
    </w:p>
    <w:p w14:paraId="211D985A" w14:textId="77777777" w:rsidR="00E22857" w:rsidRDefault="00E22857" w:rsidP="00E22857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076A6720" w14:textId="77777777" w:rsidR="00E22857" w:rsidRDefault="00E22857" w:rsidP="00E22857">
      <w:pPr>
        <w:ind w:left="284"/>
        <w:rPr>
          <w:i/>
          <w:lang w:val="fr-CA"/>
        </w:rPr>
      </w:pPr>
      <w:r>
        <w:rPr>
          <w:i/>
          <w:lang w:val="fr-CA"/>
        </w:rPr>
        <w:t>La version complète est disponible sur le site de www.plasticompetences.ca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57490A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bookmarkStart w:id="0" w:name="_GoBack"/>
            <w:bookmarkEnd w:id="0"/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57490A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2F6D9A" w:rsidRPr="0057490A" w14:paraId="1998873B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0D28A6F4" w14:textId="39D02E7B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="00590B0B" w:rsidRPr="001546B2">
              <w:rPr>
                <w:b/>
                <w:sz w:val="20"/>
                <w:lang w:val="fr-CA"/>
              </w:rPr>
              <w:t>Approvisionner les postes de travail en matières premières et autres fournitures</w:t>
            </w:r>
          </w:p>
        </w:tc>
        <w:tc>
          <w:tcPr>
            <w:tcW w:w="2737" w:type="dxa"/>
          </w:tcPr>
          <w:p w14:paraId="6B998D52" w14:textId="330E6AC4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A1455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CF62D8" w14:textId="7DB9A515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Vérifier les bons de commande, déterminer les matières premières et autres fournitures requises aux différents postes de travail et aux presses à injection</w:t>
            </w:r>
          </w:p>
        </w:tc>
        <w:tc>
          <w:tcPr>
            <w:tcW w:w="2737" w:type="dxa"/>
          </w:tcPr>
          <w:p w14:paraId="3B0FF394" w14:textId="2D12125A" w:rsidR="002F6D9A" w:rsidRPr="002F6D9A" w:rsidRDefault="002F6D9A" w:rsidP="002F6D9A">
            <w:pPr>
              <w:rPr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Vérifier la recette, sélectionner la matière première, le colorant, les additifs et calculer les quantités requises</w:t>
            </w:r>
          </w:p>
        </w:tc>
        <w:tc>
          <w:tcPr>
            <w:tcW w:w="2737" w:type="dxa"/>
          </w:tcPr>
          <w:p w14:paraId="6E003906" w14:textId="030A1F75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1.4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Préparer la matière première avant sa mise en production</w:t>
            </w:r>
          </w:p>
        </w:tc>
      </w:tr>
      <w:tr w:rsidR="002F6D9A" w:rsidRPr="0057490A" w14:paraId="7A79DA98" w14:textId="77777777" w:rsidTr="00A14556">
        <w:trPr>
          <w:trHeight w:val="1417"/>
        </w:trPr>
        <w:tc>
          <w:tcPr>
            <w:tcW w:w="1947" w:type="dxa"/>
            <w:vMerge/>
          </w:tcPr>
          <w:p w14:paraId="30E2C0E8" w14:textId="77777777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60F440D" w14:textId="3ED0D6B1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1.5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Distribuer la matière première et les fournitures aux différents postes de travail</w:t>
            </w:r>
          </w:p>
        </w:tc>
        <w:tc>
          <w:tcPr>
            <w:tcW w:w="2737" w:type="dxa"/>
          </w:tcPr>
          <w:p w14:paraId="12B249F1" w14:textId="61E01D08" w:rsidR="002F6D9A" w:rsidRPr="0057490A" w:rsidRDefault="002F6D9A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1.6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Ranger la matière première, les additifs et les colorants</w:t>
            </w:r>
          </w:p>
        </w:tc>
        <w:tc>
          <w:tcPr>
            <w:tcW w:w="2737" w:type="dxa"/>
          </w:tcPr>
          <w:p w14:paraId="5CCB6443" w14:textId="60C59279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1.7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Nettoyer et entretenir ses aires de travail</w:t>
            </w:r>
          </w:p>
        </w:tc>
        <w:tc>
          <w:tcPr>
            <w:tcW w:w="2737" w:type="dxa"/>
          </w:tcPr>
          <w:p w14:paraId="01D243A6" w14:textId="66961414" w:rsidR="002F6D9A" w:rsidRPr="0057490A" w:rsidRDefault="00590B0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90B0B">
              <w:rPr>
                <w:color w:val="000000"/>
                <w:sz w:val="20"/>
                <w:szCs w:val="20"/>
                <w:lang w:val="fr-CA"/>
              </w:rPr>
              <w:t>1.8 Comptabiliser les sorties dans l’inventaire</w:t>
            </w:r>
          </w:p>
        </w:tc>
      </w:tr>
      <w:tr w:rsidR="00D46AE6" w:rsidRPr="0057490A" w14:paraId="2858F355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1EAC1E55" w14:textId="39C8AEE1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="00590B0B" w:rsidRPr="001546B2">
              <w:rPr>
                <w:b/>
                <w:sz w:val="20"/>
                <w:lang w:val="fr-CA"/>
              </w:rPr>
              <w:t>Nettoyer les équipements périphériques</w:t>
            </w:r>
          </w:p>
        </w:tc>
        <w:tc>
          <w:tcPr>
            <w:tcW w:w="2737" w:type="dxa"/>
          </w:tcPr>
          <w:p w14:paraId="4C146E2E" w14:textId="0F1BD26A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46D3C99B" w14:textId="781BC676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Mettre l’équipement périphérique hors tension</w:t>
            </w:r>
          </w:p>
        </w:tc>
        <w:tc>
          <w:tcPr>
            <w:tcW w:w="2737" w:type="dxa"/>
          </w:tcPr>
          <w:p w14:paraId="45EA128E" w14:textId="5E1BCFD7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2.3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Désassembler les pièces mobiles</w:t>
            </w:r>
          </w:p>
        </w:tc>
        <w:tc>
          <w:tcPr>
            <w:tcW w:w="2737" w:type="dxa"/>
          </w:tcPr>
          <w:p w14:paraId="3FD6A3DC" w14:textId="531CD9B2" w:rsidR="00D46AE6" w:rsidRPr="0057490A" w:rsidRDefault="00D46AE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2.4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Effectuer le nettoyage des équipements périphériques et des composantes</w:t>
            </w:r>
          </w:p>
        </w:tc>
      </w:tr>
      <w:tr w:rsidR="00D46AE6" w:rsidRPr="0057490A" w14:paraId="16B641B6" w14:textId="77777777" w:rsidTr="00A14556">
        <w:trPr>
          <w:trHeight w:val="1417"/>
        </w:trPr>
        <w:tc>
          <w:tcPr>
            <w:tcW w:w="1947" w:type="dxa"/>
            <w:vMerge/>
          </w:tcPr>
          <w:p w14:paraId="4F09AEC7" w14:textId="77777777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182EE92" w14:textId="0F3FC2AF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2.5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Remonter les pièces mobiles</w:t>
            </w:r>
          </w:p>
        </w:tc>
        <w:tc>
          <w:tcPr>
            <w:tcW w:w="2737" w:type="dxa"/>
          </w:tcPr>
          <w:p w14:paraId="57072E8E" w14:textId="1116FFA7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 xml:space="preserve">2.6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Mettre en fonction ou entreposer aux endroits prévus</w:t>
            </w:r>
          </w:p>
        </w:tc>
        <w:tc>
          <w:tcPr>
            <w:tcW w:w="2737" w:type="dxa"/>
          </w:tcPr>
          <w:p w14:paraId="4991DD6B" w14:textId="65C3BFD6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 xml:space="preserve">2.7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Nettoyer et entretenir ses aires de travail</w:t>
            </w:r>
          </w:p>
        </w:tc>
        <w:tc>
          <w:tcPr>
            <w:tcW w:w="2737" w:type="dxa"/>
          </w:tcPr>
          <w:p w14:paraId="7BE837EC" w14:textId="0956FFAE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14556" w:rsidRPr="0057490A" w14:paraId="06658D2E" w14:textId="77777777" w:rsidTr="00A14556">
        <w:trPr>
          <w:trHeight w:val="1417"/>
        </w:trPr>
        <w:tc>
          <w:tcPr>
            <w:tcW w:w="1947" w:type="dxa"/>
          </w:tcPr>
          <w:p w14:paraId="39F0B616" w14:textId="16D6D1C6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proofErr w:type="spellStart"/>
            <w:r w:rsidR="00590B0B">
              <w:rPr>
                <w:b/>
                <w:sz w:val="20"/>
              </w:rPr>
              <w:t>Granuler</w:t>
            </w:r>
            <w:proofErr w:type="spellEnd"/>
            <w:r w:rsidR="00590B0B">
              <w:rPr>
                <w:b/>
                <w:sz w:val="20"/>
              </w:rPr>
              <w:t xml:space="preserve"> les </w:t>
            </w:r>
            <w:proofErr w:type="spellStart"/>
            <w:r w:rsidR="00590B0B">
              <w:rPr>
                <w:b/>
                <w:sz w:val="20"/>
              </w:rPr>
              <w:t>rejets</w:t>
            </w:r>
            <w:proofErr w:type="spellEnd"/>
          </w:p>
        </w:tc>
        <w:tc>
          <w:tcPr>
            <w:tcW w:w="2737" w:type="dxa"/>
          </w:tcPr>
          <w:p w14:paraId="628649FA" w14:textId="09D6FA7E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Sélectionner le granulateur approprié d’après la nature des rejets</w:t>
            </w:r>
          </w:p>
        </w:tc>
        <w:tc>
          <w:tcPr>
            <w:tcW w:w="2737" w:type="dxa"/>
          </w:tcPr>
          <w:p w14:paraId="54D0E073" w14:textId="03817F07" w:rsidR="00A14556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Granuler les rejets</w:t>
            </w:r>
          </w:p>
        </w:tc>
        <w:tc>
          <w:tcPr>
            <w:tcW w:w="2737" w:type="dxa"/>
          </w:tcPr>
          <w:p w14:paraId="6C3F7371" w14:textId="263EBA3A" w:rsidR="00A14556" w:rsidRPr="0057490A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Ramasser, ensacher, identifier et entreposer la matière granulée</w:t>
            </w:r>
          </w:p>
        </w:tc>
        <w:tc>
          <w:tcPr>
            <w:tcW w:w="2737" w:type="dxa"/>
          </w:tcPr>
          <w:p w14:paraId="593CA3D2" w14:textId="1D582C07" w:rsidR="00A14556" w:rsidRPr="0057490A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Nettoyer et entretenir ses aires de travail</w:t>
            </w:r>
          </w:p>
        </w:tc>
      </w:tr>
      <w:tr w:rsidR="00944648" w:rsidRPr="0057490A" w14:paraId="6553D95E" w14:textId="77777777" w:rsidTr="0057490A">
        <w:trPr>
          <w:trHeight w:val="1701"/>
        </w:trPr>
        <w:tc>
          <w:tcPr>
            <w:tcW w:w="1947" w:type="dxa"/>
          </w:tcPr>
          <w:p w14:paraId="65F30311" w14:textId="306CE9BA" w:rsidR="00944648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4.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590B0B" w:rsidRPr="001546B2">
              <w:rPr>
                <w:b/>
                <w:sz w:val="20"/>
                <w:lang w:val="fr-CA"/>
              </w:rPr>
              <w:t>Assister les monteurs ajusteurs</w:t>
            </w:r>
          </w:p>
        </w:tc>
        <w:tc>
          <w:tcPr>
            <w:tcW w:w="2737" w:type="dxa"/>
          </w:tcPr>
          <w:p w14:paraId="36C97DA7" w14:textId="737D8D53" w:rsidR="00AA4A1B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Collaborer au montage ou au démontage des moules</w:t>
            </w:r>
          </w:p>
        </w:tc>
        <w:tc>
          <w:tcPr>
            <w:tcW w:w="2737" w:type="dxa"/>
          </w:tcPr>
          <w:p w14:paraId="6AE642FC" w14:textId="2CE5C9A5" w:rsidR="00944648" w:rsidRPr="0057490A" w:rsidRDefault="00AA4A1B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Collaborer à l’installation et à l’ajustement des équipements périphériques</w:t>
            </w:r>
          </w:p>
        </w:tc>
        <w:tc>
          <w:tcPr>
            <w:tcW w:w="2737" w:type="dxa"/>
          </w:tcPr>
          <w:p w14:paraId="1EA4BD27" w14:textId="65F1FF2A" w:rsidR="00944648" w:rsidRPr="00A14556" w:rsidRDefault="00944648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0F94188" w14:textId="06758813" w:rsidR="00944648" w:rsidRPr="0057490A" w:rsidRDefault="00944648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22A43536" w14:textId="77777777" w:rsidR="001C11FB" w:rsidRPr="0057490A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57490A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4060E" w14:textId="77777777" w:rsidR="00453513" w:rsidRDefault="00453513" w:rsidP="000E4EF3">
      <w:pPr>
        <w:spacing w:after="0" w:line="240" w:lineRule="auto"/>
      </w:pPr>
      <w:r>
        <w:separator/>
      </w:r>
    </w:p>
  </w:endnote>
  <w:endnote w:type="continuationSeparator" w:id="0">
    <w:p w14:paraId="62B1510A" w14:textId="77777777" w:rsidR="00453513" w:rsidRDefault="00453513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20D58514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857" w:rsidRPr="00E22857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6D4A" w14:textId="77777777" w:rsidR="00453513" w:rsidRDefault="00453513" w:rsidP="000E4EF3">
      <w:pPr>
        <w:spacing w:after="0" w:line="240" w:lineRule="auto"/>
      </w:pPr>
      <w:r>
        <w:separator/>
      </w:r>
    </w:p>
  </w:footnote>
  <w:footnote w:type="continuationSeparator" w:id="0">
    <w:p w14:paraId="2BEA4480" w14:textId="77777777" w:rsidR="00453513" w:rsidRDefault="00453513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B7AD6"/>
    <w:rsid w:val="000E4EF3"/>
    <w:rsid w:val="00186AEA"/>
    <w:rsid w:val="001B3A5A"/>
    <w:rsid w:val="001C11FB"/>
    <w:rsid w:val="00256C49"/>
    <w:rsid w:val="00257B80"/>
    <w:rsid w:val="00270B62"/>
    <w:rsid w:val="002D467D"/>
    <w:rsid w:val="002F6D9A"/>
    <w:rsid w:val="004071BE"/>
    <w:rsid w:val="00453513"/>
    <w:rsid w:val="0046715E"/>
    <w:rsid w:val="00480557"/>
    <w:rsid w:val="004B2C4F"/>
    <w:rsid w:val="00517923"/>
    <w:rsid w:val="00517AFA"/>
    <w:rsid w:val="00525904"/>
    <w:rsid w:val="00563A60"/>
    <w:rsid w:val="0057490A"/>
    <w:rsid w:val="00590B0B"/>
    <w:rsid w:val="00640287"/>
    <w:rsid w:val="007C360A"/>
    <w:rsid w:val="007E01ED"/>
    <w:rsid w:val="008013B5"/>
    <w:rsid w:val="00812EED"/>
    <w:rsid w:val="008A4AC6"/>
    <w:rsid w:val="008C2228"/>
    <w:rsid w:val="008F44C4"/>
    <w:rsid w:val="00913BDB"/>
    <w:rsid w:val="00944648"/>
    <w:rsid w:val="009730B9"/>
    <w:rsid w:val="009E31FA"/>
    <w:rsid w:val="00A14556"/>
    <w:rsid w:val="00A43A10"/>
    <w:rsid w:val="00A43AB1"/>
    <w:rsid w:val="00A5694B"/>
    <w:rsid w:val="00A85368"/>
    <w:rsid w:val="00AA00E8"/>
    <w:rsid w:val="00AA4A1B"/>
    <w:rsid w:val="00AF57F4"/>
    <w:rsid w:val="00B32B9E"/>
    <w:rsid w:val="00B745BD"/>
    <w:rsid w:val="00BD5BE3"/>
    <w:rsid w:val="00BE6CA3"/>
    <w:rsid w:val="00BF3C92"/>
    <w:rsid w:val="00CD1DCD"/>
    <w:rsid w:val="00CD3B9C"/>
    <w:rsid w:val="00D0196C"/>
    <w:rsid w:val="00D46AE6"/>
    <w:rsid w:val="00DA6D82"/>
    <w:rsid w:val="00DC06BD"/>
    <w:rsid w:val="00DC3BCB"/>
    <w:rsid w:val="00E22857"/>
    <w:rsid w:val="00EA0A5B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3DE4-8FF5-4A27-A6E6-C067F688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6</cp:revision>
  <dcterms:created xsi:type="dcterms:W3CDTF">2020-01-17T11:07:00Z</dcterms:created>
  <dcterms:modified xsi:type="dcterms:W3CDTF">2020-03-04T17:21:00Z</dcterms:modified>
</cp:coreProperties>
</file>