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D0" w:rsidRDefault="001C09D0" w:rsidP="001C09D0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</w:t>
      </w:r>
      <w:bookmarkStart w:id="0" w:name="_GoBack"/>
      <w:bookmarkEnd w:id="0"/>
      <w:r>
        <w:rPr>
          <w:rFonts w:ascii="Arial" w:hAnsi="Arial" w:cs="Arial"/>
          <w:i/>
          <w:sz w:val="40"/>
        </w:rPr>
        <w:t>reprise »</w:t>
      </w:r>
    </w:p>
    <w:p w:rsidR="001C09D0" w:rsidRDefault="001C09D0" w:rsidP="001C09D0">
      <w:pPr>
        <w:pStyle w:val="Sous-titre"/>
        <w:jc w:val="left"/>
        <w:rPr>
          <w:sz w:val="32"/>
        </w:rPr>
      </w:pPr>
    </w:p>
    <w:p w:rsidR="001C09D0" w:rsidRDefault="001C09D0" w:rsidP="001C09D0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>Questionnaire d’analyse des coûts de départ</w:t>
      </w:r>
    </w:p>
    <w:p w:rsidR="001C09D0" w:rsidRPr="007B555B" w:rsidRDefault="001C09D0" w:rsidP="001C09D0">
      <w:pPr>
        <w:pStyle w:val="Sous-titre"/>
        <w:rPr>
          <w:sz w:val="32"/>
          <w:lang w:val="fr-CA"/>
        </w:rPr>
      </w:pPr>
    </w:p>
    <w:tbl>
      <w:tblPr>
        <w:tblW w:w="0" w:type="auto"/>
        <w:tblInd w:w="-103" w:type="dxa"/>
        <w:tblLook w:val="04A0" w:firstRow="1" w:lastRow="0" w:firstColumn="1" w:lastColumn="0" w:noHBand="0" w:noVBand="1"/>
      </w:tblPr>
      <w:tblGrid>
        <w:gridCol w:w="2383"/>
        <w:gridCol w:w="6360"/>
      </w:tblGrid>
      <w:tr w:rsidR="001C09D0" w:rsidRPr="00593092" w:rsidTr="00AC7188">
        <w:tc>
          <w:tcPr>
            <w:tcW w:w="2479" w:type="dxa"/>
            <w:shd w:val="clear" w:color="auto" w:fill="auto"/>
          </w:tcPr>
          <w:p w:rsidR="001C09D0" w:rsidRPr="000A2627" w:rsidRDefault="001C09D0" w:rsidP="00AC7188">
            <w:pPr>
              <w:pStyle w:val="Sous-titre"/>
              <w:jc w:val="both"/>
              <w:rPr>
                <w:rFonts w:cs="Arial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Nom du poste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</w:tcPr>
          <w:p w:rsidR="001C09D0" w:rsidRPr="00DD16C7" w:rsidRDefault="001C09D0" w:rsidP="001C09D0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fr-CA"/>
              </w:rPr>
              <w:t xml:space="preserve"> </w:t>
            </w:r>
          </w:p>
        </w:tc>
      </w:tr>
      <w:tr w:rsidR="001C09D0" w:rsidRPr="00593092" w:rsidTr="00AC7188">
        <w:tc>
          <w:tcPr>
            <w:tcW w:w="2479" w:type="dxa"/>
            <w:shd w:val="clear" w:color="auto" w:fill="auto"/>
          </w:tcPr>
          <w:p w:rsidR="001C09D0" w:rsidRPr="000A2627" w:rsidRDefault="001C09D0" w:rsidP="00AC7188">
            <w:pPr>
              <w:pStyle w:val="Sous-titre"/>
              <w:jc w:val="both"/>
              <w:rPr>
                <w:rFonts w:cs="Arial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Cs w:val="0"/>
                <w:sz w:val="22"/>
                <w:szCs w:val="22"/>
                <w:lang w:val="fr-CA"/>
              </w:rPr>
              <w:t>Département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9D0" w:rsidRPr="00DD16C7" w:rsidRDefault="001C09D0" w:rsidP="001C09D0">
            <w:pPr>
              <w:pStyle w:val="Sous-titre"/>
              <w:spacing w:line="360" w:lineRule="auto"/>
              <w:jc w:val="both"/>
              <w:rPr>
                <w:rFonts w:cs="Arial"/>
                <w:b w:val="0"/>
                <w:i/>
                <w:color w:val="E36C0A"/>
                <w:sz w:val="22"/>
                <w:lang w:val="fr-CA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fr-CA"/>
              </w:rPr>
              <w:t xml:space="preserve">  </w:t>
            </w:r>
          </w:p>
        </w:tc>
      </w:tr>
    </w:tbl>
    <w:p w:rsidR="001C09D0" w:rsidRDefault="001C09D0" w:rsidP="001C09D0">
      <w:pPr>
        <w:pStyle w:val="Sous-titre"/>
        <w:jc w:val="left"/>
        <w:rPr>
          <w:b w:val="0"/>
          <w:lang w:val="fr-CA"/>
        </w:rPr>
      </w:pPr>
    </w:p>
    <w:p w:rsidR="001C09D0" w:rsidRDefault="001C09D0" w:rsidP="001C09D0">
      <w:pPr>
        <w:pStyle w:val="Sous-titre"/>
        <w:jc w:val="left"/>
        <w:rPr>
          <w:b w:val="0"/>
          <w:lang w:val="fr-CA"/>
        </w:rPr>
      </w:pPr>
    </w:p>
    <w:p w:rsidR="00FB213B" w:rsidRPr="003953E0" w:rsidRDefault="00FB213B" w:rsidP="001C09D0">
      <w:pPr>
        <w:pStyle w:val="Sous-titre"/>
        <w:jc w:val="left"/>
        <w:rPr>
          <w:b w:val="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05"/>
        <w:gridCol w:w="1225"/>
      </w:tblGrid>
      <w:tr w:rsidR="001C09D0" w:rsidRPr="00FB213B" w:rsidTr="001C09D0">
        <w:tc>
          <w:tcPr>
            <w:tcW w:w="7621" w:type="dxa"/>
          </w:tcPr>
          <w:p w:rsidR="001C09D0" w:rsidRPr="00FB213B" w:rsidRDefault="001C09D0" w:rsidP="001C09D0">
            <w:pPr>
              <w:jc w:val="center"/>
              <w:rPr>
                <w:b/>
                <w:sz w:val="24"/>
              </w:rPr>
            </w:pPr>
            <w:r w:rsidRPr="00FB213B">
              <w:rPr>
                <w:b/>
                <w:sz w:val="24"/>
              </w:rPr>
              <w:t>Données associées au départ d’un employé</w:t>
            </w:r>
          </w:p>
        </w:tc>
        <w:tc>
          <w:tcPr>
            <w:tcW w:w="1235" w:type="dxa"/>
          </w:tcPr>
          <w:p w:rsidR="001C09D0" w:rsidRPr="00FB213B" w:rsidRDefault="001C09D0" w:rsidP="001C09D0">
            <w:pPr>
              <w:jc w:val="center"/>
              <w:rPr>
                <w:b/>
                <w:sz w:val="24"/>
              </w:rPr>
            </w:pPr>
            <w:r w:rsidRPr="00FB213B">
              <w:rPr>
                <w:b/>
                <w:sz w:val="24"/>
              </w:rPr>
              <w:t xml:space="preserve">Coût </w:t>
            </w:r>
            <w:r w:rsidR="000C474C" w:rsidRPr="00FB213B">
              <w:rPr>
                <w:b/>
                <w:sz w:val="24"/>
              </w:rPr>
              <w:t>associé</w:t>
            </w:r>
            <w:r w:rsidRPr="00FB213B">
              <w:rPr>
                <w:b/>
                <w:sz w:val="24"/>
              </w:rPr>
              <w:t xml:space="preserve"> à la donnée</w:t>
            </w:r>
          </w:p>
        </w:tc>
      </w:tr>
      <w:tr w:rsidR="001C09D0" w:rsidRPr="001C09D0" w:rsidTr="001C09D0">
        <w:tc>
          <w:tcPr>
            <w:tcW w:w="8856" w:type="dxa"/>
            <w:gridSpan w:val="2"/>
            <w:shd w:val="clear" w:color="auto" w:fill="D9D9D9" w:themeFill="background1" w:themeFillShade="D9"/>
          </w:tcPr>
          <w:p w:rsidR="001C09D0" w:rsidRPr="001C09D0" w:rsidRDefault="001C09D0" w:rsidP="00AC7188">
            <w:pPr>
              <w:rPr>
                <w:b/>
                <w:sz w:val="24"/>
              </w:rPr>
            </w:pPr>
            <w:r w:rsidRPr="001C09D0">
              <w:rPr>
                <w:b/>
                <w:sz w:val="24"/>
              </w:rPr>
              <w:t>Coût du départ</w:t>
            </w:r>
          </w:p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Salaire de l’interviewer de l’entrevue de départ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Salaire du personnel administratif pour fermer le dossier d’employé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Indemnité de départ versé à l’employé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 xml:space="preserve">Perte au niveau de la production </w:t>
            </w:r>
            <w:r w:rsidR="000C474C">
              <w:t>associée</w:t>
            </w:r>
            <w:r>
              <w:t xml:space="preserve"> à l’employé qui n’est pas remplacé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Heures supplémentaires pour pallier au départ de l’employé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pPr>
              <w:jc w:val="right"/>
            </w:pPr>
            <w:r>
              <w:t>Sous total :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RPr="001C09D0" w:rsidTr="001C09D0">
        <w:tc>
          <w:tcPr>
            <w:tcW w:w="8856" w:type="dxa"/>
            <w:gridSpan w:val="2"/>
            <w:shd w:val="clear" w:color="auto" w:fill="D9D9D9" w:themeFill="background1" w:themeFillShade="D9"/>
          </w:tcPr>
          <w:p w:rsidR="001C09D0" w:rsidRPr="001C09D0" w:rsidRDefault="001C09D0" w:rsidP="00AC7188">
            <w:r w:rsidRPr="001C09D0">
              <w:rPr>
                <w:b/>
                <w:sz w:val="24"/>
              </w:rPr>
              <w:t>Coût de recrutement</w:t>
            </w:r>
          </w:p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Salaire du personnel qui effectue l’affichage de poste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 w:rsidRPr="002A6EB5">
              <w:t xml:space="preserve">Salaire du personnel qui effectue </w:t>
            </w:r>
            <w:r>
              <w:t>les tris de CV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 w:rsidRPr="002A6EB5">
              <w:t xml:space="preserve">Salaire du personnel qui effectue </w:t>
            </w:r>
            <w:r>
              <w:t>les entrevues d’embauche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 w:rsidRPr="002A6EB5">
              <w:t xml:space="preserve">Salaire du personnel qui effectue </w:t>
            </w:r>
            <w:r>
              <w:t>les tests d’embauche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Pr="002A6EB5" w:rsidRDefault="001C09D0" w:rsidP="00AC7188">
            <w:r>
              <w:t>Salaire du personnel qui effectue la prise de référence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1C09D0">
            <w:r>
              <w:t>Coût de l’affichage de poste sur les médias (site Internet, journaux, …)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Coût des firmes externes pour le recrutement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pPr>
              <w:jc w:val="right"/>
            </w:pPr>
            <w:r>
              <w:t>Sous-total :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DE1D92">
        <w:tc>
          <w:tcPr>
            <w:tcW w:w="8856" w:type="dxa"/>
            <w:gridSpan w:val="2"/>
            <w:shd w:val="clear" w:color="auto" w:fill="D9D9D9" w:themeFill="background1" w:themeFillShade="D9"/>
          </w:tcPr>
          <w:p w:rsidR="001C09D0" w:rsidRPr="001C09D0" w:rsidRDefault="001C09D0" w:rsidP="00AC7188">
            <w:pPr>
              <w:rPr>
                <w:b/>
                <w:sz w:val="24"/>
              </w:rPr>
            </w:pPr>
            <w:r w:rsidRPr="001C09D0">
              <w:rPr>
                <w:b/>
                <w:sz w:val="24"/>
              </w:rPr>
              <w:t xml:space="preserve">Coût </w:t>
            </w:r>
            <w:r w:rsidR="000C474C">
              <w:rPr>
                <w:b/>
                <w:sz w:val="24"/>
              </w:rPr>
              <w:t>d’</w:t>
            </w:r>
            <w:r w:rsidRPr="001C09D0">
              <w:rPr>
                <w:b/>
                <w:sz w:val="24"/>
              </w:rPr>
              <w:t>accueil et de formation</w:t>
            </w:r>
          </w:p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Salaire de la personne attitré à l’intégration du nouvel employé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Salaire du formateur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Coût de la formation externe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Coût associé à la perte de productivité du nouvel employé pendant la formation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pPr>
              <w:jc w:val="right"/>
            </w:pPr>
            <w:r>
              <w:t>Sous-total :</w:t>
            </w:r>
          </w:p>
        </w:tc>
        <w:tc>
          <w:tcPr>
            <w:tcW w:w="1235" w:type="dxa"/>
          </w:tcPr>
          <w:p w:rsidR="001C09D0" w:rsidRDefault="001C09D0" w:rsidP="00AC7188">
            <w:pPr>
              <w:jc w:val="right"/>
            </w:pPr>
          </w:p>
        </w:tc>
      </w:tr>
      <w:tr w:rsidR="001C09D0" w:rsidRPr="001C09D0" w:rsidTr="001C09D0">
        <w:tc>
          <w:tcPr>
            <w:tcW w:w="8856" w:type="dxa"/>
            <w:gridSpan w:val="2"/>
            <w:shd w:val="clear" w:color="auto" w:fill="D9D9D9" w:themeFill="background1" w:themeFillShade="D9"/>
          </w:tcPr>
          <w:p w:rsidR="001C09D0" w:rsidRPr="001C09D0" w:rsidRDefault="001C09D0" w:rsidP="00AC7188">
            <w:pPr>
              <w:rPr>
                <w:b/>
                <w:sz w:val="24"/>
              </w:rPr>
            </w:pPr>
            <w:r w:rsidRPr="001C09D0">
              <w:rPr>
                <w:b/>
                <w:sz w:val="24"/>
              </w:rPr>
              <w:t>Coût du matériel</w:t>
            </w:r>
          </w:p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Documentation à remettre à l’employé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lastRenderedPageBreak/>
              <w:t>Ordinateur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Cellulaire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Carte magnétique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r>
              <w:t>Équipement de sécurité</w:t>
            </w:r>
          </w:p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/>
        </w:tc>
        <w:tc>
          <w:tcPr>
            <w:tcW w:w="1235" w:type="dxa"/>
          </w:tcPr>
          <w:p w:rsidR="001C09D0" w:rsidRDefault="001C09D0" w:rsidP="00AC7188"/>
        </w:tc>
      </w:tr>
      <w:tr w:rsidR="001C09D0" w:rsidTr="001C09D0">
        <w:tc>
          <w:tcPr>
            <w:tcW w:w="7621" w:type="dxa"/>
          </w:tcPr>
          <w:p w:rsidR="001C09D0" w:rsidRDefault="001C09D0" w:rsidP="00AC7188">
            <w:pPr>
              <w:jc w:val="right"/>
            </w:pPr>
            <w:r>
              <w:t>Sous-total :</w:t>
            </w: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1C09D0" w:rsidRDefault="001C09D0" w:rsidP="00AC7188"/>
        </w:tc>
      </w:tr>
      <w:tr w:rsidR="001C09D0" w:rsidRPr="001C09D0" w:rsidTr="00FB213B">
        <w:tc>
          <w:tcPr>
            <w:tcW w:w="7621" w:type="dxa"/>
            <w:tcBorders>
              <w:right w:val="single" w:sz="12" w:space="0" w:color="auto"/>
            </w:tcBorders>
          </w:tcPr>
          <w:p w:rsidR="001C09D0" w:rsidRPr="001C09D0" w:rsidRDefault="001C09D0" w:rsidP="00AC7188">
            <w:pPr>
              <w:jc w:val="right"/>
              <w:rPr>
                <w:b/>
                <w:sz w:val="32"/>
              </w:rPr>
            </w:pPr>
            <w:r w:rsidRPr="001C09D0">
              <w:rPr>
                <w:b/>
                <w:sz w:val="32"/>
              </w:rPr>
              <w:t>Grand total :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C09D0" w:rsidRPr="001C09D0" w:rsidRDefault="001C09D0" w:rsidP="00AC7188">
            <w:pPr>
              <w:rPr>
                <w:b/>
                <w:sz w:val="32"/>
              </w:rPr>
            </w:pPr>
          </w:p>
        </w:tc>
      </w:tr>
    </w:tbl>
    <w:p w:rsidR="009C1E3F" w:rsidRDefault="009C1E3F" w:rsidP="001C09D0"/>
    <w:sectPr w:rsidR="009C1E3F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D0" w:rsidRDefault="001C09D0" w:rsidP="001C09D0">
      <w:pPr>
        <w:spacing w:after="0" w:line="240" w:lineRule="auto"/>
      </w:pPr>
      <w:r>
        <w:separator/>
      </w:r>
    </w:p>
  </w:endnote>
  <w:endnote w:type="continuationSeparator" w:id="0">
    <w:p w:rsidR="001C09D0" w:rsidRDefault="001C09D0" w:rsidP="001C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3332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474C" w:rsidRDefault="000C474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9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9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474C" w:rsidRDefault="000C47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D0" w:rsidRDefault="001C09D0" w:rsidP="001C09D0">
      <w:pPr>
        <w:spacing w:after="0" w:line="240" w:lineRule="auto"/>
      </w:pPr>
      <w:r>
        <w:separator/>
      </w:r>
    </w:p>
  </w:footnote>
  <w:footnote w:type="continuationSeparator" w:id="0">
    <w:p w:rsidR="001C09D0" w:rsidRDefault="001C09D0" w:rsidP="001C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D0" w:rsidRPr="00F019B1" w:rsidRDefault="00F019B1" w:rsidP="00F019B1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3BD87776" wp14:editId="7A6BCE31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</w:t>
    </w:r>
    <w:r>
      <w:rPr>
        <w:i/>
        <w:color w:val="595959"/>
        <w:lang w:val="fr-CA"/>
      </w:rPr>
      <w:t xml:space="preserve">          </w:t>
    </w:r>
    <w:r>
      <w:rPr>
        <w:i/>
        <w:color w:val="595959"/>
      </w:rPr>
      <w:t xml:space="preserve">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>
      <w:rPr>
        <w:rFonts w:ascii="Times New Roman" w:hAnsi="Times New Roman"/>
        <w:b w:val="0"/>
        <w:i/>
        <w:color w:val="595959"/>
        <w:sz w:val="22"/>
        <w:szCs w:val="22"/>
      </w:rPr>
      <w:t>I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I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I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  <w:lang w:val="fr-CA"/>
      </w:rPr>
      <w:t>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D0"/>
    <w:rsid w:val="000C474C"/>
    <w:rsid w:val="001C09D0"/>
    <w:rsid w:val="00270D86"/>
    <w:rsid w:val="004367A8"/>
    <w:rsid w:val="009C1E3F"/>
    <w:rsid w:val="00F019B1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64645F"/>
  <w15:docId w15:val="{8DF79D15-77DD-4874-8319-B9080F9D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9D0"/>
  </w:style>
  <w:style w:type="paragraph" w:styleId="Pieddepage">
    <w:name w:val="footer"/>
    <w:basedOn w:val="Normal"/>
    <w:link w:val="PieddepageCar"/>
    <w:uiPriority w:val="99"/>
    <w:unhideWhenUsed/>
    <w:rsid w:val="001C0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9D0"/>
  </w:style>
  <w:style w:type="paragraph" w:styleId="Sous-titre">
    <w:name w:val="Subtitle"/>
    <w:basedOn w:val="Normal"/>
    <w:link w:val="Sous-titreCar"/>
    <w:qFormat/>
    <w:rsid w:val="001C09D0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1C09D0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9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2</cp:revision>
  <cp:lastPrinted>2013-11-05T19:04:00Z</cp:lastPrinted>
  <dcterms:created xsi:type="dcterms:W3CDTF">2021-06-14T15:50:00Z</dcterms:created>
  <dcterms:modified xsi:type="dcterms:W3CDTF">2021-06-14T15:50:00Z</dcterms:modified>
</cp:coreProperties>
</file>